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819AA" w14:textId="47E0586E" w:rsidR="00A448D1" w:rsidRDefault="0012608D" w:rsidP="0012608D">
      <w:pPr>
        <w:pStyle w:val="Title"/>
        <w:jc w:val="center"/>
      </w:pPr>
      <w:r>
        <w:t>Brooklyn College Academic Assessment Rubric</w:t>
      </w:r>
      <w:r w:rsidR="00A53BFC">
        <w:t xml:space="preserve"> – Planning and Documentation</w:t>
      </w:r>
      <w:r w:rsidR="007D72DD">
        <w:t xml:space="preserve"> (Formative)</w:t>
      </w:r>
    </w:p>
    <w:tbl>
      <w:tblPr>
        <w:tblW w:w="5088" w:type="pct"/>
        <w:tblBorders>
          <w:top w:val="single" w:sz="4" w:space="0" w:color="D4D3DD" w:themeColor="text2" w:themeTint="33"/>
          <w:left w:val="single" w:sz="4" w:space="0" w:color="D4D3DD" w:themeColor="text2" w:themeTint="33"/>
          <w:bottom w:val="single" w:sz="4" w:space="0" w:color="D4D3DD" w:themeColor="text2" w:themeTint="33"/>
          <w:right w:val="single" w:sz="4" w:space="0" w:color="D4D3DD" w:themeColor="text2" w:themeTint="33"/>
          <w:insideH w:val="single" w:sz="4" w:space="0" w:color="D4D3DD" w:themeColor="text2" w:themeTint="33"/>
          <w:insideV w:val="single" w:sz="4" w:space="0" w:color="D4D3DD" w:themeColor="text2" w:themeTint="3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oject-based learning rubric"/>
      </w:tblPr>
      <w:tblGrid>
        <w:gridCol w:w="638"/>
        <w:gridCol w:w="3665"/>
        <w:gridCol w:w="3439"/>
        <w:gridCol w:w="3439"/>
        <w:gridCol w:w="3439"/>
      </w:tblGrid>
      <w:tr w:rsidR="009F4C4E" w14:paraId="16F6FCB3" w14:textId="50EF12B4" w:rsidTr="00073ADE">
        <w:trPr>
          <w:cantSplit/>
          <w:trHeight w:val="627"/>
          <w:tblHeader/>
        </w:trPr>
        <w:tc>
          <w:tcPr>
            <w:tcW w:w="639" w:type="dxa"/>
            <w:tcBorders>
              <w:top w:val="single" w:sz="24" w:space="0" w:color="373545" w:themeColor="text2"/>
              <w:left w:val="single" w:sz="24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textDirection w:val="btLr"/>
          </w:tcPr>
          <w:p w14:paraId="3ACD8033" w14:textId="77777777" w:rsidR="009F4C4E" w:rsidRDefault="009F4C4E" w:rsidP="009F4C4E">
            <w:pPr>
              <w:pStyle w:val="Heading2"/>
              <w:keepNext w:val="0"/>
              <w:keepLines w:val="0"/>
              <w:spacing w:after="0"/>
            </w:pPr>
            <w:r>
              <w:t>Score Levels</w:t>
            </w:r>
          </w:p>
        </w:tc>
        <w:tc>
          <w:tcPr>
            <w:tcW w:w="3665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14:paraId="78BBFEAA" w14:textId="77777777" w:rsidR="009F4C4E" w:rsidRDefault="009F4C4E" w:rsidP="009F4C4E">
            <w:pPr>
              <w:pStyle w:val="Heading1"/>
              <w:keepNext w:val="0"/>
              <w:keepLines w:val="0"/>
              <w:spacing w:after="0"/>
            </w:pPr>
            <w:r>
              <w:t>Learning Outcomes</w:t>
            </w:r>
          </w:p>
        </w:tc>
        <w:tc>
          <w:tcPr>
            <w:tcW w:w="3439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14:paraId="61C4B854" w14:textId="4FFDDFAC" w:rsidR="009F4C4E" w:rsidRDefault="009F4C4E" w:rsidP="009F4C4E">
            <w:pPr>
              <w:pStyle w:val="Heading1"/>
              <w:keepNext w:val="0"/>
              <w:keepLines w:val="0"/>
              <w:spacing w:after="0"/>
            </w:pPr>
            <w:r>
              <w:t>Curriculum Mapping</w:t>
            </w:r>
          </w:p>
        </w:tc>
        <w:tc>
          <w:tcPr>
            <w:tcW w:w="3439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14:paraId="5F25AD4D" w14:textId="34190519" w:rsidR="009F4C4E" w:rsidRDefault="009F4C4E" w:rsidP="009F4C4E">
            <w:pPr>
              <w:pStyle w:val="Heading1"/>
              <w:keepNext w:val="0"/>
              <w:keepLines w:val="0"/>
              <w:spacing w:after="0"/>
            </w:pPr>
            <w:r>
              <w:t>Assessment Cycle</w:t>
            </w:r>
          </w:p>
        </w:tc>
        <w:tc>
          <w:tcPr>
            <w:tcW w:w="3439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14:paraId="7EAD6505" w14:textId="60E91924" w:rsidR="009F4C4E" w:rsidRDefault="009F4C4E" w:rsidP="009F4C4E">
            <w:pPr>
              <w:pStyle w:val="Heading1"/>
              <w:keepNext w:val="0"/>
              <w:keepLines w:val="0"/>
              <w:spacing w:after="0"/>
            </w:pPr>
            <w:r>
              <w:t>Tools</w:t>
            </w:r>
          </w:p>
        </w:tc>
      </w:tr>
      <w:tr w:rsidR="009F4C4E" w14:paraId="3A4A79A5" w14:textId="5D0964A7" w:rsidTr="00073ADE">
        <w:trPr>
          <w:cantSplit/>
          <w:trHeight w:val="1056"/>
        </w:trPr>
        <w:tc>
          <w:tcPr>
            <w:tcW w:w="639" w:type="dxa"/>
            <w:tcBorders>
              <w:top w:val="single" w:sz="4" w:space="0" w:color="373545" w:themeColor="text2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  <w:textDirection w:val="btLr"/>
            <w:vAlign w:val="center"/>
          </w:tcPr>
          <w:p w14:paraId="1C492610" w14:textId="0A9984B4" w:rsidR="009F4C4E" w:rsidRDefault="009F4C4E" w:rsidP="009F4C4E">
            <w:pPr>
              <w:pStyle w:val="Heading1"/>
              <w:keepNext w:val="0"/>
              <w:keepLines w:val="0"/>
              <w:spacing w:after="0"/>
              <w:ind w:left="113" w:right="113"/>
            </w:pPr>
            <w:r>
              <w:t>Exemplary</w:t>
            </w:r>
          </w:p>
        </w:tc>
        <w:tc>
          <w:tcPr>
            <w:tcW w:w="3665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14:paraId="3F888A8F" w14:textId="5F6D893F" w:rsidR="009F4C4E" w:rsidRPr="007D72DD" w:rsidRDefault="009F4C4E" w:rsidP="009F4C4E">
            <w:pPr>
              <w:pStyle w:val="ListBullet"/>
              <w:spacing w:after="0"/>
              <w:rPr>
                <w:sz w:val="20"/>
              </w:rPr>
            </w:pPr>
            <w:r w:rsidRPr="007D72DD">
              <w:rPr>
                <w:sz w:val="20"/>
              </w:rPr>
              <w:t>A comprehensive list of learning outcomes has been developed</w:t>
            </w:r>
          </w:p>
          <w:p w14:paraId="59EA5EC0" w14:textId="77777777" w:rsidR="00BD2BD1" w:rsidRDefault="009F4C4E" w:rsidP="00BD2BD1">
            <w:pPr>
              <w:pStyle w:val="ListBullet"/>
              <w:spacing w:after="0"/>
              <w:ind w:left="288" w:hanging="216"/>
              <w:rPr>
                <w:sz w:val="20"/>
              </w:rPr>
            </w:pPr>
            <w:r w:rsidRPr="007D72DD">
              <w:rPr>
                <w:sz w:val="20"/>
              </w:rPr>
              <w:t>Learning outcomes are clearly formulated and are universally expressed in measurable and observable terms</w:t>
            </w:r>
          </w:p>
          <w:p w14:paraId="2330250B" w14:textId="59061898" w:rsidR="009F4C4E" w:rsidRPr="00BD2BD1" w:rsidRDefault="009F4C4E" w:rsidP="00BD2BD1">
            <w:pPr>
              <w:pStyle w:val="ListBullet"/>
              <w:spacing w:after="0"/>
              <w:ind w:left="288" w:hanging="216"/>
              <w:rPr>
                <w:sz w:val="20"/>
              </w:rPr>
            </w:pPr>
            <w:r w:rsidRPr="00BD2BD1">
              <w:rPr>
                <w:sz w:val="20"/>
              </w:rPr>
              <w:t>Outcomes are well articulated and appear specific and measurable</w:t>
            </w:r>
          </w:p>
        </w:tc>
        <w:tc>
          <w:tcPr>
            <w:tcW w:w="3439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14:paraId="597AA858" w14:textId="38662FB6" w:rsidR="009F4C4E" w:rsidRPr="007D72DD" w:rsidRDefault="009F4C4E" w:rsidP="009F4C4E">
            <w:pPr>
              <w:pStyle w:val="ListBullet"/>
              <w:spacing w:after="0"/>
              <w:rPr>
                <w:sz w:val="20"/>
              </w:rPr>
            </w:pPr>
            <w:r w:rsidRPr="007D72DD">
              <w:rPr>
                <w:sz w:val="20"/>
              </w:rPr>
              <w:t xml:space="preserve">A curriculum map exists and </w:t>
            </w:r>
            <w:r w:rsidR="00603AA3">
              <w:rPr>
                <w:sz w:val="20"/>
              </w:rPr>
              <w:t>documents</w:t>
            </w:r>
            <w:r w:rsidRPr="007D72DD">
              <w:rPr>
                <w:sz w:val="20"/>
              </w:rPr>
              <w:t xml:space="preserve"> </w:t>
            </w:r>
            <w:r w:rsidR="00603AA3">
              <w:rPr>
                <w:sz w:val="20"/>
              </w:rPr>
              <w:t>indicate specifically that it is aligned with existing course offerings and path to graduation</w:t>
            </w:r>
          </w:p>
          <w:p w14:paraId="048BF6F9" w14:textId="05935202" w:rsidR="009F4C4E" w:rsidRPr="007D72DD" w:rsidRDefault="009F4C4E" w:rsidP="009F4C4E">
            <w:pPr>
              <w:pStyle w:val="ListBullet"/>
              <w:spacing w:after="0"/>
              <w:rPr>
                <w:sz w:val="20"/>
              </w:rPr>
            </w:pPr>
            <w:r w:rsidRPr="007D72DD">
              <w:rPr>
                <w:sz w:val="20"/>
              </w:rPr>
              <w:t>Curriculum map is consistently aligned with measurable and observable student learning outcomes</w:t>
            </w:r>
          </w:p>
        </w:tc>
        <w:tc>
          <w:tcPr>
            <w:tcW w:w="3439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14:paraId="0909E453" w14:textId="19779A52" w:rsidR="009F4C4E" w:rsidRPr="007D72DD" w:rsidRDefault="009F4C4E" w:rsidP="009F4C4E">
            <w:pPr>
              <w:pStyle w:val="ListBullet"/>
              <w:spacing w:after="0"/>
              <w:rPr>
                <w:sz w:val="20"/>
              </w:rPr>
            </w:pPr>
            <w:r w:rsidRPr="007D72DD">
              <w:rPr>
                <w:sz w:val="20"/>
              </w:rPr>
              <w:t>A</w:t>
            </w:r>
            <w:r w:rsidR="00603AA3">
              <w:rPr>
                <w:sz w:val="20"/>
              </w:rPr>
              <w:t>n assessment cycle</w:t>
            </w:r>
            <w:r w:rsidRPr="007D72DD">
              <w:rPr>
                <w:sz w:val="20"/>
              </w:rPr>
              <w:t xml:space="preserve"> exist</w:t>
            </w:r>
            <w:r w:rsidR="00603AA3">
              <w:rPr>
                <w:sz w:val="20"/>
              </w:rPr>
              <w:t>s that is</w:t>
            </w:r>
            <w:r w:rsidRPr="007D72DD">
              <w:rPr>
                <w:sz w:val="20"/>
              </w:rPr>
              <w:t xml:space="preserve"> multi-year and based on a</w:t>
            </w:r>
            <w:r w:rsidR="00603AA3">
              <w:rPr>
                <w:sz w:val="20"/>
              </w:rPr>
              <w:t xml:space="preserve"> practical sequence of assessments which</w:t>
            </w:r>
            <w:r w:rsidRPr="007D72DD">
              <w:rPr>
                <w:sz w:val="20"/>
              </w:rPr>
              <w:t xml:space="preserve"> c</w:t>
            </w:r>
            <w:r w:rsidR="00603AA3">
              <w:rPr>
                <w:sz w:val="20"/>
              </w:rPr>
              <w:t>ontains specific dates and</w:t>
            </w:r>
            <w:r w:rsidRPr="007D72DD">
              <w:rPr>
                <w:sz w:val="20"/>
              </w:rPr>
              <w:t xml:space="preserve"> can be realistically implemented by the department</w:t>
            </w:r>
          </w:p>
          <w:p w14:paraId="332B8F28" w14:textId="4A6B2A68" w:rsidR="009F4C4E" w:rsidRPr="007D72DD" w:rsidRDefault="009F4C4E" w:rsidP="009F4C4E">
            <w:pPr>
              <w:pStyle w:val="ListBullet"/>
              <w:spacing w:after="0"/>
              <w:rPr>
                <w:sz w:val="20"/>
              </w:rPr>
            </w:pPr>
            <w:r w:rsidRPr="007D72DD">
              <w:rPr>
                <w:sz w:val="20"/>
              </w:rPr>
              <w:t>The plan can be adapted and added to for the future with minimal difficulty</w:t>
            </w:r>
          </w:p>
        </w:tc>
        <w:tc>
          <w:tcPr>
            <w:tcW w:w="3439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14:paraId="6E91C341" w14:textId="5B3676C8" w:rsidR="009F4C4E" w:rsidRPr="00064FA6" w:rsidRDefault="009F4C4E" w:rsidP="00064FA6">
            <w:pPr>
              <w:pStyle w:val="ListBullet"/>
              <w:spacing w:after="0"/>
              <w:ind w:left="288" w:hanging="216"/>
              <w:rPr>
                <w:sz w:val="20"/>
              </w:rPr>
            </w:pPr>
            <w:r w:rsidRPr="007D72DD">
              <w:rPr>
                <w:sz w:val="20"/>
              </w:rPr>
              <w:t>Multiple assessment tools are used to assess student learning</w:t>
            </w:r>
            <w:r w:rsidR="00603AA3">
              <w:rPr>
                <w:sz w:val="20"/>
              </w:rPr>
              <w:t xml:space="preserve"> beyond grades, and they are </w:t>
            </w:r>
            <w:r w:rsidR="00694E84">
              <w:rPr>
                <w:sz w:val="20"/>
              </w:rPr>
              <w:t>justified</w:t>
            </w:r>
            <w:r w:rsidR="00603AA3">
              <w:rPr>
                <w:sz w:val="20"/>
              </w:rPr>
              <w:t xml:space="preserve"> in terms reflecting best practices for the</w:t>
            </w:r>
            <w:r w:rsidRPr="007D72DD">
              <w:rPr>
                <w:sz w:val="20"/>
              </w:rPr>
              <w:t xml:space="preserve"> field</w:t>
            </w:r>
            <w:r w:rsidR="00064FA6">
              <w:rPr>
                <w:sz w:val="20"/>
              </w:rPr>
              <w:t xml:space="preserve">. </w:t>
            </w:r>
            <w:r w:rsidRPr="00064FA6">
              <w:rPr>
                <w:sz w:val="20"/>
              </w:rPr>
              <w:t>Both direct and indirect tools are used to help cross-validate their findings</w:t>
            </w:r>
          </w:p>
          <w:p w14:paraId="68FC7664" w14:textId="77777777" w:rsidR="009F4C4E" w:rsidRPr="007D72DD" w:rsidRDefault="009F4C4E" w:rsidP="009F4C4E">
            <w:pPr>
              <w:pStyle w:val="ListBullet"/>
              <w:spacing w:after="0"/>
              <w:ind w:left="288" w:hanging="216"/>
              <w:rPr>
                <w:sz w:val="20"/>
              </w:rPr>
            </w:pPr>
            <w:r w:rsidRPr="007D72DD">
              <w:rPr>
                <w:sz w:val="20"/>
              </w:rPr>
              <w:t>Tools ar</w:t>
            </w:r>
            <w:bookmarkStart w:id="0" w:name="_GoBack"/>
            <w:bookmarkEnd w:id="0"/>
            <w:r w:rsidRPr="007D72DD">
              <w:rPr>
                <w:sz w:val="20"/>
              </w:rPr>
              <w:t>e justified by department in terms of their validity, reliability, etc.</w:t>
            </w:r>
          </w:p>
          <w:p w14:paraId="4C6753FA" w14:textId="6C3A54AF" w:rsidR="009F4C4E" w:rsidRPr="007D72DD" w:rsidRDefault="009F4C4E" w:rsidP="007D72DD">
            <w:pPr>
              <w:pStyle w:val="ListBullet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</w:tc>
      </w:tr>
      <w:tr w:rsidR="009F4C4E" w14:paraId="5726D59C" w14:textId="330D7A95" w:rsidTr="00073ADE">
        <w:trPr>
          <w:cantSplit/>
          <w:trHeight w:val="1056"/>
        </w:trPr>
        <w:tc>
          <w:tcPr>
            <w:tcW w:w="639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  <w:textDirection w:val="btLr"/>
            <w:vAlign w:val="center"/>
          </w:tcPr>
          <w:p w14:paraId="56298E79" w14:textId="69BB36BC" w:rsidR="009F4C4E" w:rsidRDefault="009F4C4E" w:rsidP="009F4C4E">
            <w:pPr>
              <w:pStyle w:val="Heading1"/>
              <w:keepNext w:val="0"/>
              <w:keepLines w:val="0"/>
              <w:spacing w:after="0"/>
              <w:ind w:left="113" w:right="113"/>
            </w:pPr>
            <w:r>
              <w:t>Satisfactory</w:t>
            </w:r>
          </w:p>
        </w:tc>
        <w:tc>
          <w:tcPr>
            <w:tcW w:w="366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14:paraId="134BA881" w14:textId="00846242" w:rsidR="009F4C4E" w:rsidRPr="007D72DD" w:rsidRDefault="009F4C4E" w:rsidP="009F4C4E">
            <w:pPr>
              <w:pStyle w:val="ListBullet"/>
              <w:spacing w:after="0"/>
              <w:rPr>
                <w:sz w:val="20"/>
              </w:rPr>
            </w:pPr>
            <w:r w:rsidRPr="007D72DD">
              <w:rPr>
                <w:sz w:val="20"/>
              </w:rPr>
              <w:t xml:space="preserve">A list of learning outcomes has been developed </w:t>
            </w:r>
          </w:p>
          <w:p w14:paraId="588C0998" w14:textId="77777777" w:rsidR="009F4C4E" w:rsidRPr="007D72DD" w:rsidRDefault="009F4C4E" w:rsidP="009F4C4E">
            <w:pPr>
              <w:pStyle w:val="ListBullet"/>
              <w:spacing w:after="0"/>
              <w:rPr>
                <w:sz w:val="20"/>
              </w:rPr>
            </w:pPr>
            <w:r w:rsidRPr="007D72DD">
              <w:rPr>
                <w:sz w:val="20"/>
              </w:rPr>
              <w:t>Learning outcomes are clearly formulated and are mostly expressed in measurable and observable terms</w:t>
            </w:r>
          </w:p>
          <w:p w14:paraId="0F58F6EC" w14:textId="77777777" w:rsidR="009F4C4E" w:rsidRPr="007D72DD" w:rsidRDefault="009F4C4E" w:rsidP="009F4C4E">
            <w:pPr>
              <w:pStyle w:val="ListBullet"/>
              <w:spacing w:after="0"/>
              <w:rPr>
                <w:sz w:val="20"/>
              </w:rPr>
            </w:pPr>
            <w:r w:rsidRPr="007D72DD">
              <w:rPr>
                <w:sz w:val="20"/>
              </w:rPr>
              <w:t>Learning outcomes are generally internally consistent, balanced, and aligned according to student learning level and curriculum</w:t>
            </w:r>
          </w:p>
        </w:tc>
        <w:tc>
          <w:tcPr>
            <w:tcW w:w="3439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14:paraId="780DC6B7" w14:textId="642327EC" w:rsidR="009F4C4E" w:rsidRPr="007D72DD" w:rsidRDefault="009F4C4E" w:rsidP="00603AA3">
            <w:pPr>
              <w:pStyle w:val="ListBullet"/>
              <w:rPr>
                <w:sz w:val="20"/>
              </w:rPr>
            </w:pPr>
            <w:r w:rsidRPr="007D72DD">
              <w:rPr>
                <w:sz w:val="20"/>
              </w:rPr>
              <w:t>A c</w:t>
            </w:r>
            <w:r w:rsidR="00603AA3">
              <w:rPr>
                <w:sz w:val="20"/>
              </w:rPr>
              <w:t>urriculum map exists and documents suggest</w:t>
            </w:r>
            <w:r w:rsidR="00603AA3" w:rsidRPr="00603AA3">
              <w:rPr>
                <w:sz w:val="20"/>
              </w:rPr>
              <w:t xml:space="preserve"> that it is aligned with existing course offerings and path to graduation</w:t>
            </w:r>
          </w:p>
          <w:p w14:paraId="57223896" w14:textId="1CBAC65F" w:rsidR="009F4C4E" w:rsidRPr="007D72DD" w:rsidRDefault="009F4C4E" w:rsidP="009F4C4E">
            <w:pPr>
              <w:pStyle w:val="ListBullet"/>
              <w:spacing w:after="0"/>
              <w:rPr>
                <w:sz w:val="20"/>
              </w:rPr>
            </w:pPr>
            <w:r w:rsidRPr="007D72DD">
              <w:rPr>
                <w:sz w:val="20"/>
              </w:rPr>
              <w:t>Curriculum map is generally if inconsistently aligned with student learning outcomes</w:t>
            </w:r>
          </w:p>
        </w:tc>
        <w:tc>
          <w:tcPr>
            <w:tcW w:w="3439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14:paraId="63056205" w14:textId="0F100433" w:rsidR="009F4C4E" w:rsidRPr="007D72DD" w:rsidRDefault="00603AA3" w:rsidP="009F4C4E">
            <w:pPr>
              <w:pStyle w:val="ListBullet"/>
              <w:spacing w:after="0"/>
              <w:rPr>
                <w:sz w:val="20"/>
              </w:rPr>
            </w:pPr>
            <w:r>
              <w:rPr>
                <w:sz w:val="20"/>
              </w:rPr>
              <w:t>An assessment cycle</w:t>
            </w:r>
            <w:r w:rsidR="009F4C4E" w:rsidRPr="007D72DD">
              <w:rPr>
                <w:sz w:val="20"/>
              </w:rPr>
              <w:t xml:space="preserve"> exists that is multi-yea</w:t>
            </w:r>
            <w:r>
              <w:rPr>
                <w:sz w:val="20"/>
              </w:rPr>
              <w:t>r and based on a practical sequence of assessments</w:t>
            </w:r>
            <w:r w:rsidR="009F4C4E" w:rsidRPr="007D72DD">
              <w:rPr>
                <w:sz w:val="20"/>
              </w:rPr>
              <w:t>, though the scheduling details of that cycle may remain unclear</w:t>
            </w:r>
          </w:p>
          <w:p w14:paraId="4F14EF84" w14:textId="77777777" w:rsidR="009F4C4E" w:rsidRPr="007D72DD" w:rsidRDefault="009F4C4E" w:rsidP="009F4C4E">
            <w:pPr>
              <w:pStyle w:val="ListBullet"/>
              <w:spacing w:after="0"/>
              <w:rPr>
                <w:sz w:val="20"/>
              </w:rPr>
            </w:pPr>
            <w:r w:rsidRPr="007D72DD">
              <w:rPr>
                <w:sz w:val="20"/>
              </w:rPr>
              <w:t>The plan can generally be built on for future assessment plans</w:t>
            </w:r>
          </w:p>
        </w:tc>
        <w:tc>
          <w:tcPr>
            <w:tcW w:w="3439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14:paraId="7749A23B" w14:textId="77777777" w:rsidR="009F4C4E" w:rsidRPr="007D72DD" w:rsidRDefault="009F4C4E" w:rsidP="009F4C4E">
            <w:pPr>
              <w:pStyle w:val="ListBullet"/>
              <w:spacing w:after="0"/>
              <w:ind w:left="288" w:hanging="216"/>
              <w:rPr>
                <w:sz w:val="20"/>
              </w:rPr>
            </w:pPr>
            <w:r w:rsidRPr="007D72DD">
              <w:rPr>
                <w:sz w:val="20"/>
              </w:rPr>
              <w:t>Assessment tool(s) are used to assess student learning beyond grades, and they are generally aligned with best practices for a given field</w:t>
            </w:r>
          </w:p>
          <w:p w14:paraId="27247B06" w14:textId="2E5A83B4" w:rsidR="009F4C4E" w:rsidRPr="00603AA3" w:rsidRDefault="009F4C4E" w:rsidP="00603AA3">
            <w:pPr>
              <w:pStyle w:val="ListBullet"/>
              <w:spacing w:after="0"/>
              <w:ind w:left="288" w:hanging="216"/>
              <w:rPr>
                <w:sz w:val="20"/>
              </w:rPr>
            </w:pPr>
            <w:r w:rsidRPr="007D72DD">
              <w:rPr>
                <w:sz w:val="20"/>
              </w:rPr>
              <w:t>Tools are justified by department, bu</w:t>
            </w:r>
            <w:r w:rsidR="00603AA3">
              <w:rPr>
                <w:sz w:val="20"/>
              </w:rPr>
              <w:t>t perhaps not in concrete terms</w:t>
            </w:r>
          </w:p>
        </w:tc>
      </w:tr>
      <w:tr w:rsidR="009F4C4E" w14:paraId="55679F44" w14:textId="3D90674D" w:rsidTr="00073ADE">
        <w:trPr>
          <w:cantSplit/>
          <w:trHeight w:val="1056"/>
        </w:trPr>
        <w:tc>
          <w:tcPr>
            <w:tcW w:w="639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  <w:textDirection w:val="btLr"/>
            <w:vAlign w:val="center"/>
          </w:tcPr>
          <w:p w14:paraId="07DDA5B4" w14:textId="504078A0" w:rsidR="009F4C4E" w:rsidRDefault="009F4C4E" w:rsidP="009F4C4E">
            <w:pPr>
              <w:pStyle w:val="Heading1"/>
              <w:keepNext w:val="0"/>
              <w:keepLines w:val="0"/>
              <w:spacing w:after="0"/>
              <w:ind w:left="113" w:right="113"/>
            </w:pPr>
            <w:r>
              <w:t>Developing</w:t>
            </w:r>
          </w:p>
        </w:tc>
        <w:tc>
          <w:tcPr>
            <w:tcW w:w="366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14:paraId="5D2AB0AC" w14:textId="77777777" w:rsidR="009F4C4E" w:rsidRPr="007D72DD" w:rsidRDefault="009F4C4E" w:rsidP="009F4C4E">
            <w:pPr>
              <w:pStyle w:val="ListBullet"/>
              <w:spacing w:after="0"/>
              <w:rPr>
                <w:sz w:val="20"/>
              </w:rPr>
            </w:pPr>
            <w:r w:rsidRPr="007D72DD">
              <w:rPr>
                <w:sz w:val="20"/>
              </w:rPr>
              <w:t>Some learning outcomes have been articulated, but not in measurable and observable terms</w:t>
            </w:r>
          </w:p>
          <w:p w14:paraId="308338BC" w14:textId="77777777" w:rsidR="009F4C4E" w:rsidRPr="007D72DD" w:rsidRDefault="009F4C4E" w:rsidP="009F4C4E">
            <w:pPr>
              <w:pStyle w:val="ListBullet"/>
              <w:spacing w:after="0"/>
              <w:rPr>
                <w:sz w:val="20"/>
              </w:rPr>
            </w:pPr>
            <w:r w:rsidRPr="007D72DD">
              <w:rPr>
                <w:sz w:val="20"/>
              </w:rPr>
              <w:t>Outcomes lack consistency and balance and are not aligned with student learning level and curriculum</w:t>
            </w:r>
          </w:p>
        </w:tc>
        <w:tc>
          <w:tcPr>
            <w:tcW w:w="3439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14:paraId="1D226842" w14:textId="1E350C9E" w:rsidR="009F4C4E" w:rsidRPr="007D72DD" w:rsidRDefault="009F4C4E" w:rsidP="009F4C4E">
            <w:pPr>
              <w:pStyle w:val="ListBullet"/>
              <w:spacing w:after="0"/>
              <w:rPr>
                <w:sz w:val="20"/>
              </w:rPr>
            </w:pPr>
            <w:r w:rsidRPr="007D72DD">
              <w:rPr>
                <w:sz w:val="20"/>
              </w:rPr>
              <w:t xml:space="preserve">A curriculum map exists, but </w:t>
            </w:r>
            <w:r w:rsidR="00603AA3">
              <w:rPr>
                <w:sz w:val="20"/>
              </w:rPr>
              <w:t xml:space="preserve">no information is provided regarding whether it </w:t>
            </w:r>
            <w:r w:rsidRPr="007D72DD">
              <w:rPr>
                <w:sz w:val="20"/>
              </w:rPr>
              <w:t>reflect</w:t>
            </w:r>
            <w:r w:rsidR="00603AA3">
              <w:rPr>
                <w:sz w:val="20"/>
              </w:rPr>
              <w:t>s</w:t>
            </w:r>
            <w:r w:rsidRPr="007D72DD">
              <w:rPr>
                <w:sz w:val="20"/>
              </w:rPr>
              <w:t xml:space="preserve"> existing course offerings or path to graduation for majors</w:t>
            </w:r>
          </w:p>
          <w:p w14:paraId="4C067F72" w14:textId="77777777" w:rsidR="009F4C4E" w:rsidRPr="007D72DD" w:rsidRDefault="009F4C4E" w:rsidP="009F4C4E">
            <w:pPr>
              <w:pStyle w:val="ListBullet"/>
              <w:spacing w:after="0"/>
              <w:rPr>
                <w:sz w:val="20"/>
              </w:rPr>
            </w:pPr>
            <w:r w:rsidRPr="007D72DD">
              <w:rPr>
                <w:sz w:val="20"/>
              </w:rPr>
              <w:t>Curriculum map is generally not aligned with student learning outcomes</w:t>
            </w:r>
          </w:p>
          <w:p w14:paraId="29A015EF" w14:textId="77777777" w:rsidR="009F4C4E" w:rsidRPr="007D72DD" w:rsidRDefault="009F4C4E" w:rsidP="009F4C4E">
            <w:pPr>
              <w:pStyle w:val="ListBullet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</w:tc>
        <w:tc>
          <w:tcPr>
            <w:tcW w:w="3439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14:paraId="352463D5" w14:textId="47656FD2" w:rsidR="009F4C4E" w:rsidRPr="007D72DD" w:rsidRDefault="009F4C4E" w:rsidP="009F4C4E">
            <w:pPr>
              <w:pStyle w:val="ListBullet"/>
              <w:spacing w:after="0"/>
              <w:rPr>
                <w:sz w:val="20"/>
              </w:rPr>
            </w:pPr>
            <w:r w:rsidRPr="007D72DD">
              <w:rPr>
                <w:sz w:val="20"/>
              </w:rPr>
              <w:t>A</w:t>
            </w:r>
            <w:r w:rsidR="00603AA3">
              <w:rPr>
                <w:sz w:val="20"/>
              </w:rPr>
              <w:t>n assessment cycle exist, but is</w:t>
            </w:r>
            <w:r w:rsidRPr="007D72DD">
              <w:rPr>
                <w:sz w:val="20"/>
              </w:rPr>
              <w:t xml:space="preserve"> generally ad hoc, tied to a limited</w:t>
            </w:r>
            <w:r w:rsidR="00603AA3">
              <w:rPr>
                <w:sz w:val="20"/>
              </w:rPr>
              <w:t xml:space="preserve"> accreditation schedule, and is</w:t>
            </w:r>
            <w:r w:rsidRPr="007D72DD">
              <w:rPr>
                <w:sz w:val="20"/>
              </w:rPr>
              <w:t xml:space="preserve"> not connected to previous plans or future plans</w:t>
            </w:r>
          </w:p>
          <w:p w14:paraId="5016AC8F" w14:textId="00BFDD32" w:rsidR="009F4C4E" w:rsidRPr="007D72DD" w:rsidRDefault="009F4C4E" w:rsidP="009F4C4E">
            <w:pPr>
              <w:pStyle w:val="ListBullet"/>
              <w:spacing w:after="0"/>
              <w:rPr>
                <w:sz w:val="20"/>
              </w:rPr>
            </w:pPr>
            <w:r w:rsidRPr="007D72DD">
              <w:rPr>
                <w:sz w:val="20"/>
              </w:rPr>
              <w:t>The plan would have to be significantly altered to be useful in the future</w:t>
            </w:r>
          </w:p>
          <w:p w14:paraId="10E6BD0C" w14:textId="77777777" w:rsidR="009F4C4E" w:rsidRPr="007D72DD" w:rsidRDefault="009F4C4E" w:rsidP="009F4C4E">
            <w:pPr>
              <w:pStyle w:val="ListBullet"/>
              <w:numPr>
                <w:ilvl w:val="0"/>
                <w:numId w:val="0"/>
              </w:numPr>
              <w:spacing w:after="0"/>
              <w:ind w:left="288" w:hanging="216"/>
              <w:rPr>
                <w:sz w:val="20"/>
              </w:rPr>
            </w:pPr>
          </w:p>
        </w:tc>
        <w:tc>
          <w:tcPr>
            <w:tcW w:w="3439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14:paraId="77FED1B7" w14:textId="77777777" w:rsidR="009F4C4E" w:rsidRPr="007D72DD" w:rsidRDefault="009F4C4E" w:rsidP="009F4C4E">
            <w:pPr>
              <w:pStyle w:val="ListBullet"/>
              <w:spacing w:after="0"/>
              <w:ind w:left="288" w:hanging="216"/>
              <w:rPr>
                <w:sz w:val="20"/>
              </w:rPr>
            </w:pPr>
            <w:r w:rsidRPr="007D72DD">
              <w:rPr>
                <w:sz w:val="20"/>
              </w:rPr>
              <w:t>An assessment tool is used to assess student learning beyond grades, but it is not in keeping with best practices for a given field</w:t>
            </w:r>
          </w:p>
          <w:p w14:paraId="67D7D1CF" w14:textId="3D0431D9" w:rsidR="009F4C4E" w:rsidRPr="00603AA3" w:rsidRDefault="009F4C4E" w:rsidP="00603AA3">
            <w:pPr>
              <w:pStyle w:val="ListBullet"/>
              <w:spacing w:after="0"/>
              <w:ind w:left="288" w:hanging="216"/>
              <w:rPr>
                <w:sz w:val="20"/>
              </w:rPr>
            </w:pPr>
            <w:r w:rsidRPr="007D72DD">
              <w:rPr>
                <w:sz w:val="20"/>
              </w:rPr>
              <w:t>Department has largely failed to justify why tools are effective and appropriate</w:t>
            </w:r>
          </w:p>
        </w:tc>
      </w:tr>
      <w:tr w:rsidR="009F4C4E" w14:paraId="2F957DFD" w14:textId="5D98CE0F" w:rsidTr="00073ADE">
        <w:trPr>
          <w:cantSplit/>
          <w:trHeight w:val="1056"/>
        </w:trPr>
        <w:tc>
          <w:tcPr>
            <w:tcW w:w="639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  <w:textDirection w:val="btLr"/>
            <w:vAlign w:val="center"/>
          </w:tcPr>
          <w:p w14:paraId="0355CF92" w14:textId="25C6B436" w:rsidR="009F4C4E" w:rsidRDefault="009F4C4E" w:rsidP="009F4C4E">
            <w:pPr>
              <w:pStyle w:val="Heading1"/>
              <w:keepNext w:val="0"/>
              <w:keepLines w:val="0"/>
              <w:spacing w:after="0"/>
              <w:ind w:left="113" w:right="113"/>
            </w:pPr>
            <w:r>
              <w:t>Initial</w:t>
            </w:r>
          </w:p>
        </w:tc>
        <w:tc>
          <w:tcPr>
            <w:tcW w:w="366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14:paraId="0E08BBAE" w14:textId="77777777" w:rsidR="009F4C4E" w:rsidRPr="007D72DD" w:rsidRDefault="009F4C4E" w:rsidP="009F4C4E">
            <w:pPr>
              <w:pStyle w:val="ListBullet"/>
              <w:spacing w:after="0"/>
              <w:rPr>
                <w:sz w:val="20"/>
              </w:rPr>
            </w:pPr>
            <w:r w:rsidRPr="007D72DD">
              <w:rPr>
                <w:sz w:val="20"/>
              </w:rPr>
              <w:t>No or inadequate learning outcomes articulated by the department</w:t>
            </w:r>
          </w:p>
          <w:p w14:paraId="360C4CCA" w14:textId="426107C4" w:rsidR="009F4C4E" w:rsidRPr="007D72DD" w:rsidRDefault="009F4C4E" w:rsidP="007D72DD">
            <w:pPr>
              <w:pStyle w:val="ListBullet"/>
              <w:spacing w:after="0"/>
              <w:rPr>
                <w:sz w:val="20"/>
              </w:rPr>
            </w:pPr>
            <w:r w:rsidRPr="007D72DD">
              <w:rPr>
                <w:sz w:val="20"/>
              </w:rPr>
              <w:t>Outcomes that have been articulated are not coherently formulated and are too vague or broad to be useful</w:t>
            </w:r>
          </w:p>
        </w:tc>
        <w:tc>
          <w:tcPr>
            <w:tcW w:w="3439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14:paraId="30541F97" w14:textId="2CB7EF9F" w:rsidR="009F4C4E" w:rsidRPr="007D72DD" w:rsidRDefault="009F4C4E" w:rsidP="009F4C4E">
            <w:pPr>
              <w:pStyle w:val="ListBullet"/>
              <w:spacing w:after="0"/>
              <w:rPr>
                <w:sz w:val="20"/>
              </w:rPr>
            </w:pPr>
            <w:r w:rsidRPr="007D72DD">
              <w:rPr>
                <w:sz w:val="20"/>
              </w:rPr>
              <w:t xml:space="preserve">No curriculum </w:t>
            </w:r>
            <w:r w:rsidR="00603AA3">
              <w:rPr>
                <w:sz w:val="20"/>
              </w:rPr>
              <w:t>map exists</w:t>
            </w:r>
          </w:p>
          <w:p w14:paraId="3B0B6F6B" w14:textId="27706CD2" w:rsidR="009F4C4E" w:rsidRPr="007D72DD" w:rsidRDefault="009F4C4E" w:rsidP="00603AA3">
            <w:pPr>
              <w:pStyle w:val="ListBullet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</w:tc>
        <w:tc>
          <w:tcPr>
            <w:tcW w:w="3439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14:paraId="19006ECD" w14:textId="25FCC6BA" w:rsidR="009F4C4E" w:rsidRPr="00603AA3" w:rsidRDefault="009F4C4E" w:rsidP="00603AA3">
            <w:pPr>
              <w:pStyle w:val="ListBullet"/>
              <w:spacing w:after="0"/>
              <w:rPr>
                <w:sz w:val="20"/>
              </w:rPr>
            </w:pPr>
            <w:r w:rsidRPr="007D72DD">
              <w:rPr>
                <w:sz w:val="20"/>
              </w:rPr>
              <w:t>No assessment plan is in place, or plans that have been developed have no particular schedule or means of implementation</w:t>
            </w:r>
          </w:p>
        </w:tc>
        <w:tc>
          <w:tcPr>
            <w:tcW w:w="3439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14:paraId="4C7CA61C" w14:textId="77777777" w:rsidR="009F4C4E" w:rsidRPr="007D72DD" w:rsidRDefault="009F4C4E" w:rsidP="009F4C4E">
            <w:pPr>
              <w:pStyle w:val="ListBullet"/>
              <w:spacing w:after="0"/>
              <w:ind w:left="288" w:hanging="216"/>
              <w:rPr>
                <w:sz w:val="20"/>
              </w:rPr>
            </w:pPr>
            <w:r w:rsidRPr="007D72DD">
              <w:rPr>
                <w:sz w:val="20"/>
              </w:rPr>
              <w:t>Only grades or grade distributions are used to assess student learning</w:t>
            </w:r>
          </w:p>
          <w:p w14:paraId="4A2609D0" w14:textId="64FD604E" w:rsidR="009F4C4E" w:rsidRPr="007D72DD" w:rsidRDefault="009F4C4E" w:rsidP="009F4C4E">
            <w:pPr>
              <w:pStyle w:val="ListBullet"/>
              <w:spacing w:after="0"/>
              <w:rPr>
                <w:sz w:val="20"/>
              </w:rPr>
            </w:pPr>
            <w:r w:rsidRPr="007D72DD">
              <w:rPr>
                <w:sz w:val="20"/>
              </w:rPr>
              <w:t>Only the instructor of record for a given course is involved in assessing the effectiveness of that course</w:t>
            </w:r>
          </w:p>
        </w:tc>
      </w:tr>
    </w:tbl>
    <w:p w14:paraId="150F191F" w14:textId="0F5FAE1D" w:rsidR="00A448D1" w:rsidRDefault="009F4C4E" w:rsidP="007E1BCD">
      <w:pPr>
        <w:tabs>
          <w:tab w:val="left" w:pos="9030"/>
        </w:tabs>
      </w:pPr>
      <w:r>
        <w:rPr>
          <w:b/>
          <w:sz w:val="28"/>
          <w:szCs w:val="28"/>
        </w:rPr>
        <w:t>DRAFT – FOR INTERN</w:t>
      </w:r>
      <w:r w:rsidR="007E1BCD" w:rsidRPr="009325E8">
        <w:rPr>
          <w:b/>
          <w:sz w:val="28"/>
          <w:szCs w:val="28"/>
        </w:rPr>
        <w:t>AL USE ONLY</w:t>
      </w:r>
      <w:r w:rsidR="007E1BCD">
        <w:rPr>
          <w:sz w:val="32"/>
          <w:szCs w:val="32"/>
        </w:rPr>
        <w:t xml:space="preserve"> </w:t>
      </w:r>
      <w:r w:rsidR="007E1BCD">
        <w:t>(Adapted from Brooklyn College Resources and the University of Texas Rio Grande Valley Rubric for Evaluating Program Assessment Plans)</w:t>
      </w:r>
    </w:p>
    <w:sectPr w:rsidR="00A448D1"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F841F" w14:textId="77777777" w:rsidR="00EF5089" w:rsidRDefault="00EF5089">
      <w:pPr>
        <w:spacing w:before="0" w:after="0"/>
      </w:pPr>
      <w:r>
        <w:separator/>
      </w:r>
    </w:p>
  </w:endnote>
  <w:endnote w:type="continuationSeparator" w:id="0">
    <w:p w14:paraId="7E81D62B" w14:textId="77777777" w:rsidR="00EF5089" w:rsidRDefault="00EF50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8C916" w14:textId="77777777" w:rsidR="00EF5089" w:rsidRDefault="00EF5089">
      <w:pPr>
        <w:spacing w:before="0" w:after="0"/>
      </w:pPr>
      <w:r>
        <w:separator/>
      </w:r>
    </w:p>
  </w:footnote>
  <w:footnote w:type="continuationSeparator" w:id="0">
    <w:p w14:paraId="1ED4CF76" w14:textId="77777777" w:rsidR="00EF5089" w:rsidRDefault="00EF508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D16EE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EF432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642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954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B5EB0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8D"/>
    <w:rsid w:val="00035032"/>
    <w:rsid w:val="00064FA6"/>
    <w:rsid w:val="00073ADE"/>
    <w:rsid w:val="000F1247"/>
    <w:rsid w:val="00120831"/>
    <w:rsid w:val="0012608D"/>
    <w:rsid w:val="00345E2E"/>
    <w:rsid w:val="00365490"/>
    <w:rsid w:val="00386A09"/>
    <w:rsid w:val="00536D38"/>
    <w:rsid w:val="005803AD"/>
    <w:rsid w:val="00603AA3"/>
    <w:rsid w:val="00694E84"/>
    <w:rsid w:val="00796AE4"/>
    <w:rsid w:val="007D72DD"/>
    <w:rsid w:val="007E1BCD"/>
    <w:rsid w:val="007F2483"/>
    <w:rsid w:val="009F4C4E"/>
    <w:rsid w:val="00A448D1"/>
    <w:rsid w:val="00A53BFC"/>
    <w:rsid w:val="00A85665"/>
    <w:rsid w:val="00BD2BD1"/>
    <w:rsid w:val="00CB5CC3"/>
    <w:rsid w:val="00CE0037"/>
    <w:rsid w:val="00E02681"/>
    <w:rsid w:val="00E13CAB"/>
    <w:rsid w:val="00EB3292"/>
    <w:rsid w:val="00EF5089"/>
    <w:rsid w:val="00F1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E16AA"/>
  <w15:chartTrackingRefBased/>
  <w15:docId w15:val="{A090364B-26CB-4959-96A7-1E4F5EF7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before="60" w:after="6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qFormat/>
    <w:pPr>
      <w:keepNext/>
      <w:keepLines/>
      <w:spacing w:before="100" w:after="100"/>
      <w:jc w:val="center"/>
      <w:outlineLvl w:val="0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" w:after="1"/>
      <w:ind w:left="72" w:right="72"/>
      <w:jc w:val="center"/>
      <w:outlineLvl w:val="1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/>
      <w:ind w:right="72"/>
    </w:pPr>
  </w:style>
  <w:style w:type="paragraph" w:styleId="Title">
    <w:name w:val="Title"/>
    <w:basedOn w:val="Normal"/>
    <w:next w:val="Normal"/>
    <w:qFormat/>
    <w:pPr>
      <w:keepNext/>
      <w:keepLines/>
      <w:spacing w:before="0" w:after="120" w:line="216" w:lineRule="auto"/>
      <w:contextualSpacing/>
    </w:pPr>
    <w:rPr>
      <w:rFonts w:asciiTheme="majorHAnsi" w:eastAsiaTheme="majorEastAsia" w:hAnsiTheme="majorHAnsi" w:cstheme="majorBidi"/>
      <w:color w:val="373545" w:themeColor="text2"/>
      <w:spacing w:val="-1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665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56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6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6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6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fi\AppData\Roaming\Microsoft\Templates\Project-based%20learning%20rubric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4D5B69B-8265-4A5E-93E5-F46165E31A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rubric</Template>
  <TotalTime>93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Freddie deBoer</dc:creator>
  <cp:keywords/>
  <cp:lastModifiedBy>Freddie deBoer</cp:lastModifiedBy>
  <cp:revision>14</cp:revision>
  <dcterms:created xsi:type="dcterms:W3CDTF">2017-01-03T16:49:00Z</dcterms:created>
  <dcterms:modified xsi:type="dcterms:W3CDTF">2017-06-01T13:01:00Z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TC034630869991</vt:lpwstr>
  </property>
</Properties>
</file>